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D224" w14:textId="77777777" w:rsidR="0098151D" w:rsidRDefault="00B81288">
      <w:pPr>
        <w:pStyle w:val="Ttu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rFonts w:ascii="GillSans" w:hAnsi="GillSans" w:cs="Arial"/>
          <w:sz w:val="20"/>
          <w:szCs w:val="20"/>
          <w:shd w:val="clear" w:color="auto" w:fill="D9D9D9"/>
        </w:rPr>
        <w:t xml:space="preserve">MODELO DE SEGURO DE CAUCIÓN ÚNICO (tanto para el </w:t>
      </w:r>
      <w:r>
        <w:rPr>
          <w:rFonts w:ascii="GillSans" w:hAnsi="GillSans" w:cs="Arial"/>
          <w:bCs w:val="0"/>
          <w:sz w:val="20"/>
          <w:szCs w:val="20"/>
          <w:shd w:val="clear" w:color="auto" w:fill="D9D9D9"/>
        </w:rPr>
        <w:t>procedimiento</w:t>
      </w:r>
      <w:r>
        <w:rPr>
          <w:rFonts w:ascii="GillSans" w:hAnsi="GillSans" w:cs="Arial"/>
          <w:sz w:val="20"/>
          <w:szCs w:val="20"/>
          <w:shd w:val="clear" w:color="auto" w:fill="D9D9D9"/>
        </w:rPr>
        <w:t xml:space="preserve"> </w:t>
      </w:r>
      <w:r>
        <w:rPr>
          <w:rFonts w:ascii="GillSans" w:hAnsi="GillSans" w:cs="Arial"/>
          <w:sz w:val="20"/>
          <w:szCs w:val="20"/>
          <w:u w:val="single"/>
          <w:shd w:val="clear" w:color="auto" w:fill="D9D9D9"/>
        </w:rPr>
        <w:t>PRESENCIAL como TELEMÁTICO</w:t>
      </w:r>
      <w:r>
        <w:rPr>
          <w:rFonts w:ascii="GillSans" w:hAnsi="GillSans" w:cs="Arial"/>
          <w:sz w:val="20"/>
          <w:szCs w:val="20"/>
        </w:rPr>
        <w:t>)</w:t>
      </w:r>
    </w:p>
    <w:p w14:paraId="584A9355" w14:textId="77777777" w:rsidR="0098151D" w:rsidRDefault="00B81288">
      <w:pPr>
        <w:pStyle w:val="Textoindependiente"/>
        <w:spacing w:before="120"/>
        <w:rPr>
          <w:rFonts w:ascii="GillSans" w:hAnsi="GillSans" w:hint="eastAsia"/>
          <w:sz w:val="20"/>
          <w:szCs w:val="20"/>
        </w:rPr>
      </w:pPr>
      <w:bookmarkStart w:id="0" w:name="_Hlk143605321"/>
      <w:r>
        <w:rPr>
          <w:rFonts w:ascii="GillSans" w:hAnsi="GillSans"/>
          <w:sz w:val="20"/>
          <w:szCs w:val="20"/>
        </w:rPr>
        <w:t>(MEMBRETE DE LA ENTIDAD ASEGURADORA)</w:t>
      </w:r>
    </w:p>
    <w:p w14:paraId="4002FF11" w14:textId="77777777" w:rsidR="0098151D" w:rsidRDefault="00B81288">
      <w:pPr>
        <w:jc w:val="both"/>
      </w:pPr>
      <w:r>
        <w:rPr>
          <w:rFonts w:ascii="GillSans" w:hAnsi="GillSans" w:cs="Arial"/>
          <w:sz w:val="20"/>
          <w:szCs w:val="20"/>
          <w:lang w:val="pt-PT"/>
        </w:rPr>
        <w:t>Certificado número (</w:t>
      </w:r>
      <w:r>
        <w:rPr>
          <w:rFonts w:ascii="GillSans" w:hAnsi="GillSans" w:cs="Arial"/>
          <w:b/>
          <w:bCs/>
          <w:sz w:val="20"/>
          <w:szCs w:val="20"/>
          <w:lang w:val="pt-PT"/>
        </w:rPr>
        <w:t>nº de certificado</w:t>
      </w:r>
      <w:r>
        <w:rPr>
          <w:rFonts w:ascii="GillSans" w:hAnsi="GillSans" w:cs="Arial"/>
          <w:sz w:val="20"/>
          <w:szCs w:val="20"/>
          <w:lang w:val="pt-PT"/>
        </w:rPr>
        <w:t>)</w:t>
      </w:r>
    </w:p>
    <w:p w14:paraId="4E000B30" w14:textId="77777777" w:rsidR="0098151D" w:rsidRDefault="0098151D">
      <w:pPr>
        <w:jc w:val="both"/>
        <w:rPr>
          <w:rFonts w:ascii="GillSans" w:hAnsi="GillSans" w:cs="Arial"/>
          <w:sz w:val="20"/>
          <w:szCs w:val="20"/>
          <w:lang w:val="pt-PT"/>
        </w:rPr>
      </w:pPr>
    </w:p>
    <w:p w14:paraId="72BA0C5F" w14:textId="77777777" w:rsidR="0098151D" w:rsidRDefault="00B81288">
      <w:pPr>
        <w:jc w:val="both"/>
      </w:pPr>
      <w:r>
        <w:rPr>
          <w:rFonts w:ascii="GillSans" w:hAnsi="GillSans" w:cs="Arial"/>
          <w:sz w:val="20"/>
          <w:szCs w:val="20"/>
        </w:rPr>
        <w:t>La Entidad (</w:t>
      </w:r>
      <w:r>
        <w:rPr>
          <w:rFonts w:ascii="GillSans" w:hAnsi="GillSans" w:cs="Arial"/>
          <w:b/>
          <w:sz w:val="18"/>
          <w:szCs w:val="18"/>
        </w:rPr>
        <w:t>Razón social completa de la entidad aseguradora</w:t>
      </w:r>
      <w:r>
        <w:rPr>
          <w:rFonts w:ascii="GillSans" w:hAnsi="GillSans" w:cs="Arial"/>
          <w:sz w:val="20"/>
          <w:szCs w:val="20"/>
        </w:rPr>
        <w:t xml:space="preserve">), </w:t>
      </w:r>
      <w:r>
        <w:rPr>
          <w:rFonts w:ascii="GillSans" w:hAnsi="GillSans" w:cs="Arial"/>
          <w:sz w:val="20"/>
          <w:szCs w:val="20"/>
        </w:rPr>
        <w:t>N.I.F. (</w:t>
      </w:r>
      <w:r>
        <w:rPr>
          <w:rFonts w:ascii="GillSans" w:hAnsi="GillSans" w:cs="Arial"/>
          <w:b/>
          <w:bCs/>
          <w:sz w:val="20"/>
          <w:szCs w:val="20"/>
        </w:rPr>
        <w:t>NIF de la entidad aseguradora</w:t>
      </w:r>
      <w:r>
        <w:rPr>
          <w:rFonts w:ascii="GillSans" w:hAnsi="GillSans" w:cs="Arial"/>
          <w:sz w:val="20"/>
          <w:szCs w:val="20"/>
        </w:rPr>
        <w:t>), con domicilio (</w:t>
      </w:r>
      <w:r>
        <w:rPr>
          <w:rFonts w:ascii="GillSans" w:hAnsi="GillSans" w:cs="Arial"/>
          <w:b/>
          <w:sz w:val="18"/>
          <w:szCs w:val="18"/>
        </w:rPr>
        <w:t>a efectos de notificación y requerimientos</w:t>
      </w:r>
      <w:r>
        <w:rPr>
          <w:rFonts w:ascii="GillSans" w:hAnsi="GillSans" w:cs="Arial"/>
          <w:sz w:val="20"/>
          <w:szCs w:val="20"/>
        </w:rPr>
        <w:t>) en (</w:t>
      </w:r>
      <w:r>
        <w:rPr>
          <w:rFonts w:ascii="GillSans" w:hAnsi="GillSans" w:cs="Arial"/>
          <w:b/>
          <w:bCs/>
          <w:sz w:val="20"/>
          <w:szCs w:val="20"/>
        </w:rPr>
        <w:t>población</w:t>
      </w:r>
      <w:r>
        <w:rPr>
          <w:rFonts w:ascii="GillSans" w:hAnsi="GillSans" w:cs="Arial"/>
          <w:sz w:val="20"/>
          <w:szCs w:val="20"/>
        </w:rPr>
        <w:t>), en la (</w:t>
      </w:r>
      <w:r>
        <w:rPr>
          <w:rFonts w:ascii="GillSans" w:hAnsi="GillSans" w:cs="Arial"/>
          <w:b/>
          <w:bCs/>
          <w:sz w:val="20"/>
          <w:szCs w:val="20"/>
        </w:rPr>
        <w:t>calle/plaza/avenida</w:t>
      </w:r>
      <w:r>
        <w:rPr>
          <w:rFonts w:ascii="GillSans" w:hAnsi="GillSans" w:cs="Arial"/>
          <w:sz w:val="20"/>
          <w:szCs w:val="20"/>
        </w:rPr>
        <w:t>), (</w:t>
      </w:r>
      <w:r>
        <w:rPr>
          <w:rFonts w:ascii="GillSans" w:hAnsi="GillSans" w:cs="Arial"/>
          <w:b/>
          <w:bCs/>
          <w:sz w:val="20"/>
          <w:szCs w:val="20"/>
        </w:rPr>
        <w:t>nº</w:t>
      </w:r>
      <w:r>
        <w:rPr>
          <w:rFonts w:ascii="GillSans" w:hAnsi="GillSans" w:cs="Arial"/>
          <w:sz w:val="20"/>
          <w:szCs w:val="20"/>
        </w:rPr>
        <w:t>), C.P. (</w:t>
      </w:r>
      <w:r>
        <w:rPr>
          <w:rFonts w:ascii="GillSans" w:hAnsi="GillSans" w:cs="Arial"/>
          <w:b/>
          <w:bCs/>
          <w:sz w:val="20"/>
          <w:szCs w:val="20"/>
        </w:rPr>
        <w:t>código postal</w:t>
      </w:r>
      <w:r>
        <w:rPr>
          <w:rFonts w:ascii="GillSans" w:hAnsi="GillSans" w:cs="Arial"/>
          <w:sz w:val="20"/>
          <w:szCs w:val="20"/>
        </w:rPr>
        <w:t>), debidamente representada por don/doña (</w:t>
      </w:r>
      <w:r>
        <w:rPr>
          <w:rFonts w:ascii="GillSans" w:hAnsi="GillSans" w:cs="Arial"/>
          <w:b/>
          <w:bCs/>
          <w:sz w:val="20"/>
          <w:szCs w:val="20"/>
        </w:rPr>
        <w:t xml:space="preserve">nombre y apellidos del apoderado o </w:t>
      </w:r>
      <w:r>
        <w:rPr>
          <w:rFonts w:ascii="GillSans" w:hAnsi="GillSans" w:cs="Arial"/>
          <w:b/>
          <w:bCs/>
          <w:sz w:val="20"/>
          <w:szCs w:val="20"/>
        </w:rPr>
        <w:t>apoderados</w:t>
      </w:r>
      <w:r>
        <w:rPr>
          <w:rFonts w:ascii="GillSans" w:hAnsi="GillSans" w:cs="Arial"/>
          <w:sz w:val="20"/>
          <w:szCs w:val="20"/>
        </w:rPr>
        <w:t>), con poderes suficientes para obligarle en este acto, según resulta del bastanteo de poderes que se reseña en la parte inferior de este documento,</w:t>
      </w:r>
    </w:p>
    <w:p w14:paraId="667993D7" w14:textId="77777777" w:rsidR="0098151D" w:rsidRDefault="00B81288">
      <w:pPr>
        <w:pStyle w:val="Ttulo1"/>
        <w:spacing w:before="120" w:after="120"/>
        <w:rPr>
          <w:rFonts w:ascii="GillSans" w:hAnsi="GillSans" w:hint="eastAsia"/>
          <w:sz w:val="20"/>
          <w:szCs w:val="20"/>
        </w:rPr>
      </w:pPr>
      <w:r>
        <w:rPr>
          <w:rFonts w:ascii="GillSans" w:hAnsi="GillSans"/>
          <w:sz w:val="20"/>
          <w:szCs w:val="20"/>
        </w:rPr>
        <w:t>ASEGURA</w:t>
      </w:r>
    </w:p>
    <w:p w14:paraId="61299EB5" w14:textId="77777777" w:rsidR="0098151D" w:rsidRDefault="00B81288">
      <w:pPr>
        <w:autoSpaceDE w:val="0"/>
        <w:jc w:val="both"/>
      </w:pPr>
      <w:r>
        <w:rPr>
          <w:rFonts w:ascii="GillSans" w:hAnsi="GillSans" w:cs="Arial"/>
          <w:b/>
          <w:sz w:val="20"/>
          <w:szCs w:val="20"/>
        </w:rPr>
        <w:t>A:</w:t>
      </w:r>
      <w:r>
        <w:rPr>
          <w:rFonts w:ascii="GillSans" w:hAnsi="GillSans" w:cs="Arial"/>
          <w:sz w:val="20"/>
          <w:szCs w:val="20"/>
        </w:rPr>
        <w:t xml:space="preserve"> (</w:t>
      </w:r>
      <w:r>
        <w:rPr>
          <w:rFonts w:ascii="GillSans" w:hAnsi="GillSans" w:cs="Arial"/>
          <w:b/>
          <w:sz w:val="20"/>
          <w:szCs w:val="20"/>
        </w:rPr>
        <w:t>nombre y apellidos o razón social del asegurado</w:t>
      </w:r>
      <w:r>
        <w:rPr>
          <w:rFonts w:ascii="GillSans" w:hAnsi="GillSans" w:cs="Arial"/>
          <w:sz w:val="20"/>
          <w:szCs w:val="20"/>
        </w:rPr>
        <w:t>), N.I.F. (</w:t>
      </w:r>
      <w:r>
        <w:rPr>
          <w:rFonts w:ascii="GillSans" w:hAnsi="GillSans" w:cs="Arial"/>
          <w:b/>
          <w:bCs/>
          <w:sz w:val="20"/>
          <w:szCs w:val="20"/>
        </w:rPr>
        <w:t>NIF del asegurado</w:t>
      </w:r>
      <w:r>
        <w:rPr>
          <w:rFonts w:ascii="GillSans" w:hAnsi="GillSans" w:cs="Arial"/>
          <w:sz w:val="20"/>
          <w:szCs w:val="20"/>
        </w:rPr>
        <w:t>), en concepto de tomador del seguro, ante la Consejería de Agricultura, Ganadería y Desarrollo Sostenible de la Junta de Extremadura, en adelante asegurado, hasta el importe de (</w:t>
      </w:r>
      <w:r>
        <w:rPr>
          <w:rFonts w:ascii="GillSans" w:hAnsi="GillSans" w:cs="Arial"/>
          <w:b/>
          <w:sz w:val="20"/>
          <w:szCs w:val="20"/>
        </w:rPr>
        <w:t>importe de la garantía en letra</w:t>
      </w:r>
      <w:r>
        <w:rPr>
          <w:rFonts w:ascii="GillSans" w:hAnsi="GillSans" w:cs="Arial"/>
          <w:sz w:val="20"/>
          <w:szCs w:val="20"/>
        </w:rPr>
        <w:t>) euros (</w:t>
      </w:r>
      <w:r>
        <w:rPr>
          <w:rFonts w:ascii="GillSans" w:hAnsi="GillSans" w:cs="Arial"/>
          <w:b/>
          <w:sz w:val="20"/>
          <w:szCs w:val="20"/>
        </w:rPr>
        <w:t>importe de la garantía en cifra €</w:t>
      </w:r>
      <w:r>
        <w:rPr>
          <w:rFonts w:ascii="GillSans" w:hAnsi="GillSans" w:cs="Arial"/>
          <w:sz w:val="20"/>
          <w:szCs w:val="20"/>
        </w:rPr>
        <w:t>),</w:t>
      </w:r>
      <w:r>
        <w:rPr>
          <w:rFonts w:ascii="CIDFont+F7" w:hAnsi="CIDFont+F7" w:cs="CIDFont+F7"/>
          <w:sz w:val="18"/>
          <w:szCs w:val="18"/>
        </w:rPr>
        <w:t xml:space="preserve"> </w:t>
      </w:r>
      <w:r>
        <w:rPr>
          <w:rFonts w:ascii="GillSans" w:hAnsi="GillSans" w:cs="Arial"/>
          <w:sz w:val="20"/>
          <w:szCs w:val="20"/>
        </w:rPr>
        <w:t>en los términos y condiciones establecidos en el artículo 27.4.b) del Real Decreto 905/2022, de 25 de octubre,</w:t>
      </w:r>
      <w:r>
        <w:rPr>
          <w:rFonts w:ascii="GillSans" w:hAnsi="GillSans" w:cs="Arial"/>
          <w:b/>
          <w:bCs/>
          <w:sz w:val="20"/>
          <w:szCs w:val="20"/>
        </w:rPr>
        <w:t xml:space="preserve"> </w:t>
      </w:r>
      <w:r>
        <w:rPr>
          <w:rFonts w:ascii="GillSans" w:hAnsi="GillSans" w:cs="Arial"/>
          <w:sz w:val="20"/>
          <w:szCs w:val="20"/>
        </w:rPr>
        <w:t>por el que se regula la Intervención Sectorial Vitivinícola en el mar</w:t>
      </w:r>
      <w:r>
        <w:rPr>
          <w:rFonts w:ascii="GillSans" w:hAnsi="GillSans" w:cs="Arial"/>
          <w:sz w:val="20"/>
          <w:szCs w:val="20"/>
        </w:rPr>
        <w:t>co del Plan Estratégico de la Política Agrícola Común, para garantizar las obligaciones siguientes:</w:t>
      </w:r>
    </w:p>
    <w:p w14:paraId="14BA6C69" w14:textId="77777777" w:rsidR="0098151D" w:rsidRDefault="00B81288">
      <w:pPr>
        <w:pStyle w:val="Prrafodelista"/>
        <w:spacing w:before="120"/>
        <w:ind w:left="0"/>
        <w:jc w:val="both"/>
      </w:pPr>
      <w:r>
        <w:rPr>
          <w:rFonts w:ascii="GillSans" w:hAnsi="GillSans" w:cs="Arial"/>
          <w:sz w:val="20"/>
          <w:szCs w:val="20"/>
        </w:rPr>
        <w:t xml:space="preserve"> </w:t>
      </w:r>
      <w:r>
        <w:rPr>
          <w:rFonts w:ascii="GillSans" w:hAnsi="GillSans" w:cs="Arial"/>
          <w:bCs/>
          <w:i/>
          <w:iCs/>
          <w:sz w:val="20"/>
          <w:szCs w:val="20"/>
        </w:rPr>
        <w:t>“Asegurar la buena ejecución de la operación aprobada mediante Resolución …………………… (</w:t>
      </w:r>
      <w:r>
        <w:rPr>
          <w:rFonts w:ascii="GillSans" w:hAnsi="GillSans" w:cs="Arial"/>
          <w:b/>
          <w:i/>
          <w:iCs/>
          <w:sz w:val="20"/>
          <w:szCs w:val="20"/>
        </w:rPr>
        <w:t>fecha de la Resolución de concesión de la subvención otorgada</w:t>
      </w:r>
      <w:r>
        <w:rPr>
          <w:rFonts w:ascii="GillSans" w:hAnsi="GillSans" w:cs="Arial"/>
          <w:bCs/>
          <w:i/>
          <w:iCs/>
          <w:sz w:val="20"/>
          <w:szCs w:val="20"/>
        </w:rPr>
        <w:t>), expediente catalogado con el nº ISV-……</w:t>
      </w:r>
    </w:p>
    <w:p w14:paraId="4EDDA5C6" w14:textId="77777777" w:rsidR="0098151D" w:rsidRDefault="00B81288">
      <w:pPr>
        <w:autoSpaceDE w:val="0"/>
        <w:jc w:val="both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 xml:space="preserve">Esta garantía responderá de las </w:t>
      </w:r>
      <w:r>
        <w:rPr>
          <w:rFonts w:ascii="GillSans" w:hAnsi="GillSans" w:cs="Arial"/>
          <w:sz w:val="20"/>
          <w:szCs w:val="20"/>
        </w:rPr>
        <w:t>obligaciones, penalidades y demás gastos que se puedan derivar conforme a las normas y demás condiciones administrativas precitadas frente al asegurado.</w:t>
      </w:r>
    </w:p>
    <w:p w14:paraId="282D8E86" w14:textId="77777777" w:rsidR="0098151D" w:rsidRDefault="0098151D">
      <w:pPr>
        <w:pStyle w:val="Textoindependiente"/>
        <w:rPr>
          <w:rFonts w:ascii="GillSans" w:hAnsi="GillSans" w:hint="eastAsia"/>
          <w:sz w:val="20"/>
          <w:szCs w:val="20"/>
        </w:rPr>
      </w:pPr>
    </w:p>
    <w:p w14:paraId="76C16C3D" w14:textId="77777777" w:rsidR="0098151D" w:rsidRDefault="00B81288">
      <w:pPr>
        <w:pStyle w:val="Textoindependiente"/>
        <w:rPr>
          <w:rFonts w:ascii="GillSans" w:hAnsi="GillSans" w:hint="eastAsia"/>
          <w:sz w:val="20"/>
          <w:szCs w:val="20"/>
        </w:rPr>
      </w:pPr>
      <w:r>
        <w:rPr>
          <w:rFonts w:ascii="GillSans" w:hAnsi="GillSans"/>
          <w:sz w:val="20"/>
          <w:szCs w:val="20"/>
        </w:rPr>
        <w:t xml:space="preserve">La entidad aseguradora declara bajo su responsabilidad, que cumple los requisitos exigidos en el artículo 57.1 del Reglamento General de la Ley de Contratos de las Administraciones Públicas. </w:t>
      </w:r>
    </w:p>
    <w:p w14:paraId="75625DE3" w14:textId="77777777" w:rsidR="0098151D" w:rsidRDefault="0098151D">
      <w:pPr>
        <w:pStyle w:val="Textoindependiente"/>
        <w:rPr>
          <w:rFonts w:ascii="GillSans" w:hAnsi="GillSans" w:hint="eastAsia"/>
          <w:sz w:val="20"/>
          <w:szCs w:val="20"/>
        </w:rPr>
      </w:pPr>
    </w:p>
    <w:p w14:paraId="59B8C5E0" w14:textId="77777777" w:rsidR="0098151D" w:rsidRDefault="00B81288">
      <w:pPr>
        <w:pStyle w:val="Textoindependiente"/>
        <w:rPr>
          <w:rFonts w:ascii="GillSans" w:hAnsi="GillSans" w:hint="eastAsia"/>
          <w:sz w:val="20"/>
          <w:szCs w:val="20"/>
        </w:rPr>
      </w:pPr>
      <w:r>
        <w:rPr>
          <w:rFonts w:ascii="GillSans" w:hAnsi="GillSans"/>
          <w:sz w:val="20"/>
          <w:szCs w:val="20"/>
        </w:rPr>
        <w:t xml:space="preserve">La falta de pago de la prima sea única, primera o siguiente, no dará derecho al asegurador a resolver el contrato, ni éste quedará extinguido, ni la </w:t>
      </w:r>
      <w:r>
        <w:rPr>
          <w:rFonts w:ascii="GillSans" w:hAnsi="GillSans"/>
          <w:sz w:val="20"/>
          <w:szCs w:val="20"/>
        </w:rPr>
        <w:t>cobertura del asegurador suspendida ni éste liberado de su obligación, caso de que el asegurador deba hacer efectiva la garantía.</w:t>
      </w:r>
    </w:p>
    <w:p w14:paraId="208BF852" w14:textId="77777777" w:rsidR="0098151D" w:rsidRDefault="0098151D">
      <w:pPr>
        <w:pStyle w:val="Textoindependiente"/>
        <w:rPr>
          <w:rFonts w:ascii="GillSans" w:hAnsi="GillSans" w:hint="eastAsia"/>
          <w:sz w:val="20"/>
          <w:szCs w:val="20"/>
        </w:rPr>
      </w:pPr>
    </w:p>
    <w:p w14:paraId="34C22261" w14:textId="77777777" w:rsidR="0098151D" w:rsidRDefault="00B81288">
      <w:pPr>
        <w:pStyle w:val="Textoindependiente"/>
        <w:rPr>
          <w:rFonts w:ascii="GillSans" w:hAnsi="GillSans" w:hint="eastAsia"/>
          <w:sz w:val="20"/>
          <w:szCs w:val="20"/>
        </w:rPr>
      </w:pPr>
      <w:r>
        <w:rPr>
          <w:rFonts w:ascii="GillSans" w:hAnsi="GillSans"/>
          <w:sz w:val="20"/>
          <w:szCs w:val="20"/>
        </w:rPr>
        <w:t xml:space="preserve">El asegurador no podrá oponer al asegurado las excepciones que puedan corresponderle contra el tomador del seguro. </w:t>
      </w:r>
    </w:p>
    <w:p w14:paraId="16ADACBF" w14:textId="77777777" w:rsidR="0098151D" w:rsidRDefault="0098151D">
      <w:pPr>
        <w:pStyle w:val="Textoindependiente"/>
        <w:rPr>
          <w:rFonts w:ascii="GillSans" w:hAnsi="GillSans" w:hint="eastAsia"/>
          <w:sz w:val="20"/>
          <w:szCs w:val="20"/>
        </w:rPr>
      </w:pPr>
    </w:p>
    <w:p w14:paraId="1FC8D622" w14:textId="77777777" w:rsidR="0098151D" w:rsidRDefault="00B81288">
      <w:pPr>
        <w:spacing w:line="276" w:lineRule="auto"/>
        <w:jc w:val="both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El asegurador asume el compromiso de indemnizar al asegurado al primer requerimiento de la Caja General de Depósitos de la Comunidad Autónoma de Extremadura, con sujeción a los términos previstos en el Reglamento Delegado (UE) 2022/127 de la Comisión, de 7 de diciembre de 2021 y en Reglamento de Ejecución (UE) 2022/128 de la Comisión, de 21 de diciembre de 2021 y en la normativa reguladora de la Caja de Depósitos.</w:t>
      </w:r>
    </w:p>
    <w:p w14:paraId="76CB9969" w14:textId="77777777" w:rsidR="0098151D" w:rsidRDefault="0098151D">
      <w:pPr>
        <w:spacing w:line="276" w:lineRule="auto"/>
        <w:jc w:val="both"/>
        <w:rPr>
          <w:rFonts w:ascii="GillSans" w:hAnsi="GillSans" w:cs="Arial"/>
          <w:sz w:val="20"/>
          <w:szCs w:val="20"/>
        </w:rPr>
      </w:pPr>
    </w:p>
    <w:p w14:paraId="7BC940C9" w14:textId="77777777" w:rsidR="0098151D" w:rsidRDefault="00B81288">
      <w:pPr>
        <w:jc w:val="both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El presente seguro de caución estará en vigor hasta que el órgano a cuya disposición se constituye resuelva expresamente declarar la extinción de la obligación garantizada y la cancelación del seguro de caución.</w:t>
      </w:r>
    </w:p>
    <w:p w14:paraId="72C751BB" w14:textId="77777777" w:rsidR="0098151D" w:rsidRDefault="0098151D">
      <w:pPr>
        <w:jc w:val="both"/>
        <w:rPr>
          <w:rFonts w:ascii="GillSans" w:hAnsi="GillSans" w:cs="Arial"/>
          <w:sz w:val="20"/>
          <w:szCs w:val="20"/>
        </w:rPr>
      </w:pPr>
    </w:p>
    <w:p w14:paraId="639776BB" w14:textId="77777777" w:rsidR="0098151D" w:rsidRDefault="00B81288">
      <w:pPr>
        <w:jc w:val="center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 xml:space="preserve"> (Lugar y fecha)</w:t>
      </w:r>
    </w:p>
    <w:p w14:paraId="44B2D141" w14:textId="77777777" w:rsidR="0098151D" w:rsidRDefault="00B81288">
      <w:pPr>
        <w:jc w:val="center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(Razón social de la entidad)</w:t>
      </w:r>
    </w:p>
    <w:p w14:paraId="1B1284FB" w14:textId="77777777" w:rsidR="0098151D" w:rsidRDefault="0098151D">
      <w:pPr>
        <w:jc w:val="center"/>
        <w:rPr>
          <w:rFonts w:ascii="GillSans" w:hAnsi="GillSans" w:cs="Arial"/>
          <w:sz w:val="20"/>
          <w:szCs w:val="20"/>
        </w:rPr>
      </w:pPr>
    </w:p>
    <w:p w14:paraId="308446E9" w14:textId="77777777" w:rsidR="0098151D" w:rsidRDefault="0098151D">
      <w:pPr>
        <w:jc w:val="center"/>
        <w:rPr>
          <w:rFonts w:ascii="GillSans" w:hAnsi="GillSans" w:cs="Arial"/>
          <w:sz w:val="20"/>
          <w:szCs w:val="20"/>
        </w:rPr>
      </w:pPr>
    </w:p>
    <w:p w14:paraId="5DA1152F" w14:textId="77777777" w:rsidR="0098151D" w:rsidRDefault="0098151D">
      <w:pPr>
        <w:jc w:val="center"/>
        <w:rPr>
          <w:rFonts w:ascii="GillSans" w:hAnsi="GillSans" w:cs="Arial"/>
          <w:sz w:val="20"/>
          <w:szCs w:val="20"/>
        </w:rPr>
      </w:pPr>
    </w:p>
    <w:p w14:paraId="07B6A34A" w14:textId="77777777" w:rsidR="0098151D" w:rsidRDefault="00B81288">
      <w:pPr>
        <w:jc w:val="center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(Sello de la entidad aseguradora)</w:t>
      </w:r>
    </w:p>
    <w:p w14:paraId="04A300FD" w14:textId="77777777" w:rsidR="0098151D" w:rsidRDefault="00B81288">
      <w:pPr>
        <w:jc w:val="center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(Firma de los apoderados, DIGITAL o MANUSCRITA)</w:t>
      </w:r>
    </w:p>
    <w:p w14:paraId="7C6998BD" w14:textId="77777777" w:rsidR="0098151D" w:rsidRDefault="0098151D">
      <w:pPr>
        <w:jc w:val="center"/>
        <w:rPr>
          <w:rFonts w:ascii="GillSans" w:hAnsi="GillSans" w:cs="Arial"/>
          <w:sz w:val="20"/>
          <w:szCs w:val="20"/>
        </w:rPr>
      </w:pPr>
    </w:p>
    <w:p w14:paraId="7A1578A7" w14:textId="77777777" w:rsidR="0098151D" w:rsidRDefault="0098151D">
      <w:pPr>
        <w:jc w:val="center"/>
        <w:rPr>
          <w:rFonts w:ascii="GillSans" w:hAnsi="GillSans" w:cs="Arial"/>
          <w:sz w:val="20"/>
          <w:szCs w:val="20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0"/>
        <w:gridCol w:w="2792"/>
        <w:gridCol w:w="2842"/>
      </w:tblGrid>
      <w:tr w:rsidR="0098151D" w14:paraId="57503A09" w14:textId="77777777">
        <w:tblPrEx>
          <w:tblCellMar>
            <w:top w:w="0" w:type="dxa"/>
            <w:bottom w:w="0" w:type="dxa"/>
          </w:tblCellMar>
        </w:tblPrEx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9163" w14:textId="77777777" w:rsidR="0098151D" w:rsidRDefault="00B81288">
            <w:pPr>
              <w:jc w:val="center"/>
              <w:rPr>
                <w:rFonts w:ascii="GillSans" w:hAnsi="GillSans" w:cs="Arial"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>BASTANTEO DE PODERES POR LA ABOGACÍA GENERAL DE LA JUNTA DE EXTREMADURA</w:t>
            </w:r>
          </w:p>
        </w:tc>
      </w:tr>
      <w:tr w:rsidR="0098151D" w14:paraId="0B8099AB" w14:textId="77777777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5884" w14:textId="77777777" w:rsidR="0098151D" w:rsidRDefault="00B81288">
            <w:pPr>
              <w:rPr>
                <w:rFonts w:ascii="GillSans" w:hAnsi="GillSans" w:cs="Arial"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>Provincia: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935A" w14:textId="77777777" w:rsidR="0098151D" w:rsidRDefault="00B81288">
            <w:pPr>
              <w:rPr>
                <w:rFonts w:ascii="GillSans" w:hAnsi="GillSans" w:cs="Arial"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>Fecha: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9D89" w14:textId="77777777" w:rsidR="0098151D" w:rsidRDefault="00B81288">
            <w:pPr>
              <w:rPr>
                <w:rFonts w:ascii="GillSans" w:hAnsi="GillSans" w:cs="Arial"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>Número:</w:t>
            </w:r>
          </w:p>
        </w:tc>
      </w:tr>
      <w:bookmarkEnd w:id="0"/>
    </w:tbl>
    <w:p w14:paraId="5F93E333" w14:textId="77777777" w:rsidR="0098151D" w:rsidRDefault="0098151D"/>
    <w:sectPr w:rsidR="0098151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0411" w14:textId="77777777" w:rsidR="00B81288" w:rsidRDefault="00B81288">
      <w:r>
        <w:separator/>
      </w:r>
    </w:p>
  </w:endnote>
  <w:endnote w:type="continuationSeparator" w:id="0">
    <w:p w14:paraId="60618334" w14:textId="77777777" w:rsidR="00B81288" w:rsidRDefault="00B8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Sans">
    <w:altName w:val="Calibri"/>
    <w:charset w:val="00"/>
    <w:family w:val="auto"/>
    <w:pitch w:val="variable"/>
  </w:font>
  <w:font w:name="CIDFont+F7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859E1" w14:textId="77777777" w:rsidR="00B81288" w:rsidRDefault="00B81288">
      <w:r>
        <w:rPr>
          <w:color w:val="000000"/>
        </w:rPr>
        <w:separator/>
      </w:r>
    </w:p>
  </w:footnote>
  <w:footnote w:type="continuationSeparator" w:id="0">
    <w:p w14:paraId="050E300B" w14:textId="77777777" w:rsidR="00B81288" w:rsidRDefault="00B81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151D"/>
    <w:rsid w:val="006D57DA"/>
    <w:rsid w:val="0098151D"/>
    <w:rsid w:val="00B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721C"/>
  <w15:docId w15:val="{BCF33567-9F10-47CA-904B-40AD9374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Batang" w:hAnsi="Arial" w:cs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" w:eastAsia="Batang" w:hAnsi="Arial" w:cs="Arial"/>
      <w:b/>
      <w:kern w:val="0"/>
      <w:sz w:val="24"/>
      <w:szCs w:val="24"/>
      <w:lang w:val="es-ES_tradnl" w:eastAsia="es-ES"/>
    </w:rPr>
  </w:style>
  <w:style w:type="paragraph" w:styleId="Prrafodelista">
    <w:name w:val="List Paragraph"/>
    <w:basedOn w:val="Normal"/>
    <w:pPr>
      <w:spacing w:after="160" w:line="24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pPr>
      <w:jc w:val="both"/>
    </w:pPr>
    <w:rPr>
      <w:rFonts w:ascii="Arial" w:eastAsia="Batang" w:hAnsi="Arial" w:cs="Arial"/>
      <w:bCs/>
      <w:lang w:val="es-ES_tradnl"/>
    </w:rPr>
  </w:style>
  <w:style w:type="character" w:customStyle="1" w:styleId="TextoindependienteCar">
    <w:name w:val="Texto independiente Car"/>
    <w:basedOn w:val="Fuentedeprrafopredeter"/>
    <w:rPr>
      <w:rFonts w:ascii="Arial" w:eastAsia="Batang" w:hAnsi="Arial" w:cs="Arial"/>
      <w:bCs/>
      <w:kern w:val="0"/>
      <w:sz w:val="24"/>
      <w:szCs w:val="24"/>
      <w:lang w:val="es-ES_tradnl" w:eastAsia="es-ES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F. Guerra Morales</dc:creator>
  <dc:description/>
  <cp:lastModifiedBy>Javier Montero Delgado</cp:lastModifiedBy>
  <cp:revision>2</cp:revision>
  <dcterms:created xsi:type="dcterms:W3CDTF">2025-04-03T10:00:00Z</dcterms:created>
  <dcterms:modified xsi:type="dcterms:W3CDTF">2025-04-03T10:00:00Z</dcterms:modified>
</cp:coreProperties>
</file>